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B2FC" w14:textId="77777777" w:rsidR="00B046C9" w:rsidRPr="00B046C9" w:rsidRDefault="00B046C9" w:rsidP="00B046C9">
      <w:pPr>
        <w:ind w:right="560"/>
        <w:contextualSpacing/>
        <w:jc w:val="center"/>
        <w:rPr>
          <w:rFonts w:ascii="Times New Roman" w:eastAsia="Arial Unicode MS" w:hAnsi="Times New Roman" w:cs="Times New Roman"/>
          <w:color w:val="808080"/>
          <w:sz w:val="24"/>
          <w:szCs w:val="24"/>
        </w:rPr>
      </w:pPr>
      <w:r w:rsidRPr="00B046C9">
        <w:rPr>
          <w:rFonts w:ascii="Times New Roman" w:eastAsia="Arial Unicode MS" w:hAnsi="Times New Roman" w:cs="Times New Roman"/>
          <w:color w:val="808080"/>
          <w:sz w:val="24"/>
          <w:szCs w:val="24"/>
        </w:rPr>
        <w:t>COMUNICATO STAMPA</w:t>
      </w:r>
    </w:p>
    <w:p w14:paraId="046D0205" w14:textId="77777777" w:rsidR="00B046C9" w:rsidRPr="00B046C9" w:rsidRDefault="00B046C9" w:rsidP="008D5867">
      <w:pPr>
        <w:spacing w:after="0"/>
        <w:ind w:right="561"/>
        <w:contextualSpacing/>
        <w:rPr>
          <w:rFonts w:ascii="Times New Roman" w:eastAsia="Arial Unicode MS" w:hAnsi="Times New Roman" w:cs="Times New Roman"/>
          <w:color w:val="000000"/>
          <w:sz w:val="8"/>
          <w:szCs w:val="8"/>
        </w:rPr>
      </w:pPr>
    </w:p>
    <w:p w14:paraId="07EC499F" w14:textId="2E4F1C4B" w:rsidR="008D5867" w:rsidRPr="003C4FD8" w:rsidRDefault="008D5867" w:rsidP="008D5867">
      <w:pPr>
        <w:spacing w:after="0" w:line="240" w:lineRule="auto"/>
        <w:ind w:right="561"/>
        <w:contextualSpacing/>
        <w:jc w:val="center"/>
        <w:rPr>
          <w:rFonts w:ascii="Times New Roman" w:eastAsia="Arial Unicode MS" w:hAnsi="Times New Roman" w:cs="Times New Roman"/>
          <w:b/>
          <w:bCs/>
          <w:sz w:val="29"/>
          <w:szCs w:val="29"/>
        </w:rPr>
      </w:pPr>
      <w:proofErr w:type="spellStart"/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>Creattiva</w:t>
      </w:r>
      <w:proofErr w:type="spellEnd"/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 cala il sipario</w:t>
      </w:r>
      <w:r w:rsidR="00A25DB7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: </w:t>
      </w:r>
      <w:r w:rsidR="00F55DFE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>in</w:t>
      </w:r>
      <w:r w:rsidR="003C4FD8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 49</w:t>
      </w:r>
      <w:r w:rsidR="00F55DFE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>mila</w:t>
      </w:r>
      <w:r w:rsidR="00F55DFE" w:rsidRPr="003C4FD8">
        <w:rPr>
          <w:rFonts w:ascii="Times New Roman" w:eastAsia="Arial Unicode MS" w:hAnsi="Times New Roman" w:cs="Times New Roman"/>
          <w:b/>
          <w:bCs/>
          <w:color w:val="FF0000"/>
          <w:sz w:val="29"/>
          <w:szCs w:val="29"/>
        </w:rPr>
        <w:t xml:space="preserve"> </w:t>
      </w:r>
      <w:r w:rsidR="00F55DFE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alla </w:t>
      </w:r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Fiera </w:t>
      </w:r>
      <w:r w:rsidR="00523F4E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di </w:t>
      </w:r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>Bergamo</w:t>
      </w:r>
      <w:r w:rsidR="00F55DFE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 </w:t>
      </w:r>
      <w:r w:rsidR="00A25DB7"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da tutta Italia e dall’estero per </w:t>
      </w:r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il salone internazionale di </w:t>
      </w:r>
      <w:proofErr w:type="spellStart"/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>Promoberg</w:t>
      </w:r>
      <w:proofErr w:type="spellEnd"/>
      <w:r w:rsidRPr="003C4FD8">
        <w:rPr>
          <w:rFonts w:ascii="Times New Roman" w:eastAsia="Arial Unicode MS" w:hAnsi="Times New Roman" w:cs="Times New Roman"/>
          <w:b/>
          <w:bCs/>
          <w:sz w:val="29"/>
          <w:szCs w:val="29"/>
        </w:rPr>
        <w:t xml:space="preserve"> delle arti manuali</w:t>
      </w:r>
    </w:p>
    <w:p w14:paraId="325BE4FC" w14:textId="77777777" w:rsidR="008D5867" w:rsidRPr="008D5867" w:rsidRDefault="008D5867" w:rsidP="008D5867">
      <w:pPr>
        <w:spacing w:after="0" w:line="240" w:lineRule="auto"/>
        <w:ind w:right="561"/>
        <w:contextualSpacing/>
        <w:jc w:val="center"/>
        <w:rPr>
          <w:rFonts w:ascii="Times New Roman" w:eastAsia="Arial Unicode MS" w:hAnsi="Times New Roman" w:cs="Times New Roman"/>
          <w:b/>
          <w:bCs/>
          <w:sz w:val="8"/>
          <w:szCs w:val="8"/>
        </w:rPr>
      </w:pPr>
    </w:p>
    <w:p w14:paraId="01237784" w14:textId="4605D239" w:rsidR="009A6981" w:rsidRPr="004D5659" w:rsidRDefault="009A6981" w:rsidP="0016541E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>Dopo l’incremento</w:t>
      </w:r>
      <w:r w:rsidR="003C4FD8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(+10,5%)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del numero d</w:t>
      </w:r>
      <w:r w:rsidR="003C4FD8">
        <w:rPr>
          <w:rFonts w:ascii="Times New Roman" w:eastAsia="Arial Unicode MS" w:hAnsi="Times New Roman" w:cs="Times New Roman"/>
          <w:i/>
          <w:iCs/>
          <w:sz w:val="24"/>
          <w:szCs w:val="24"/>
        </w:rPr>
        <w:t>elle imprese</w:t>
      </w:r>
      <w:r w:rsidR="00D45D40">
        <w:rPr>
          <w:rFonts w:ascii="Times New Roman" w:eastAsia="Arial Unicode MS" w:hAnsi="Times New Roman" w:cs="Times New Roman"/>
          <w:i/>
          <w:iCs/>
          <w:sz w:val="24"/>
          <w:szCs w:val="24"/>
        </w:rPr>
        <w:t>,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</w:t>
      </w:r>
      <w:r w:rsidR="00292580"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>è arrivata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anche l</w:t>
      </w:r>
      <w:r w:rsidR="00F55DFE"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>a buona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risposta del pubblico</w:t>
      </w:r>
      <w:r w:rsidR="003C4FD8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(+9%)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, che ha premiato </w:t>
      </w:r>
      <w:r w:rsidR="003C4FD8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la qualità </w:t>
      </w:r>
      <w:r w:rsidR="00B046C9"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>esp</w:t>
      </w:r>
      <w:r w:rsidR="003C4FD8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ositiva </w:t>
      </w:r>
      <w:r w:rsidRPr="004D5659">
        <w:rPr>
          <w:rFonts w:ascii="Times New Roman" w:eastAsia="Arial Unicode MS" w:hAnsi="Times New Roman" w:cs="Times New Roman"/>
          <w:i/>
          <w:iCs/>
          <w:sz w:val="24"/>
          <w:szCs w:val="24"/>
        </w:rPr>
        <w:t>e gli oltre mille eventi collaterali</w:t>
      </w:r>
    </w:p>
    <w:p w14:paraId="236F7C31" w14:textId="77777777" w:rsidR="009A6981" w:rsidRPr="004D5659" w:rsidRDefault="009A6981" w:rsidP="009A6981">
      <w:pPr>
        <w:spacing w:after="0"/>
        <w:ind w:right="560"/>
        <w:contextualSpacing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23ECE05F" w14:textId="392E2B8E" w:rsidR="002255C0" w:rsidRPr="00137B4D" w:rsidRDefault="00B046C9" w:rsidP="002255C0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Bergamo </w:t>
      </w:r>
      <w:r w:rsidR="009A69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10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marzo 2024 </w:t>
      </w:r>
      <w:bookmarkStart w:id="0" w:name="_Hlk147313493"/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– Al termine di quattro giornate vissute nel segno della fantasia e della condivisione,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la Fiera di Bergamo spegne i riflettori sull’edizione primaverile di </w:t>
      </w:r>
      <w:proofErr w:type="spellStart"/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incassando gli applausi di</w:t>
      </w:r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3C4FD8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49</w:t>
      </w:r>
      <w:r w:rsidR="00686381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mila appassionate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(il pubblico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è per lo più al 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femminile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 ma sono in crescita le presenze maschili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)</w:t>
      </w:r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giunte </w:t>
      </w:r>
      <w:r w:rsidR="004D565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per il </w:t>
      </w:r>
      <w:proofErr w:type="gramStart"/>
      <w:r w:rsidR="004D565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29esimo</w:t>
      </w:r>
      <w:proofErr w:type="gramEnd"/>
      <w:r w:rsidR="004D565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appuntamento </w:t>
      </w:r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al centro espositivo di via Lunga</w:t>
      </w:r>
      <w:r w:rsidR="00686381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da tutta Italia e dall’estero</w:t>
      </w:r>
      <w:r w:rsidR="008D5867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</w:t>
      </w:r>
      <w:r w:rsidR="00F55DFE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Nemmeno 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il </w:t>
      </w:r>
      <w:r w:rsidR="00F55DFE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week end 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segnato dal brutto tempo </w:t>
      </w:r>
      <w:r w:rsidR="00F55DFE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ha fermato l’entusiasmo del pubblico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per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il salone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internazionale di </w:t>
      </w:r>
      <w:proofErr w:type="spellStart"/>
      <w:r w:rsidR="004F146B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Promoberg</w:t>
      </w:r>
      <w:proofErr w:type="spellEnd"/>
      <w:r w:rsidR="004F146B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dedicat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al pianeta delle arti manuali. Sin dall’apertura di giovedì, trainando l’immancabile trolley o con </w:t>
      </w:r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l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 zaino</w:t>
      </w:r>
      <w:r w:rsidR="003C4FD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 spalla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le creative 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(in crescita del 9% rispetto agli ingressi di un anno fa) </w:t>
      </w:r>
      <w:r w:rsidR="004F146B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si sono fatte gioiosamente 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coinvolgere da</w:t>
      </w:r>
      <w:r w:rsidR="003D576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lla qualità e dai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colori primaverili allestiti su </w:t>
      </w:r>
      <w:r w:rsidR="00893A63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15mila metri quadrati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da </w:t>
      </w:r>
      <w:r w:rsidR="00893A63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230 imprese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(+10,5%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rispetto allo scorso anno</w:t>
      </w:r>
      <w:r w:rsidR="00893A63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) provenienti da </w:t>
      </w:r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ben </w:t>
      </w:r>
      <w:r w:rsidR="00893A63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15 regioni italiane e 10 paesi stranieri</w:t>
      </w:r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e dagli </w:t>
      </w:r>
      <w:r w:rsidR="002255C0" w:rsidRPr="00242AB5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oltre mille eventi collaterali</w:t>
      </w:r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(tra corsi, dimostrazioni, laboratori e work shop) </w:t>
      </w:r>
      <w:r w:rsidR="0055725A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che</w:t>
      </w:r>
      <w:r w:rsidR="0055725A" w:rsidRPr="00137B4D">
        <w:rPr>
          <w:rFonts w:ascii="Times New Roman" w:hAnsi="Times New Roman" w:cs="Times New Roman"/>
          <w:sz w:val="24"/>
          <w:szCs w:val="24"/>
        </w:rPr>
        <w:t>, come da tradizione,</w:t>
      </w:r>
      <w:r w:rsidR="004F146B" w:rsidRPr="00137B4D">
        <w:rPr>
          <w:rFonts w:ascii="Times New Roman" w:hAnsi="Times New Roman" w:cs="Times New Roman"/>
          <w:sz w:val="24"/>
          <w:szCs w:val="24"/>
        </w:rPr>
        <w:t xml:space="preserve"> hanno </w:t>
      </w:r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incoronano le visitatrici nelle protagoniste indiscusse di </w:t>
      </w:r>
      <w:proofErr w:type="spellStart"/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="002255C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</w:t>
      </w:r>
    </w:p>
    <w:p w14:paraId="37F9686B" w14:textId="77777777" w:rsidR="004D5659" w:rsidRPr="00137B4D" w:rsidRDefault="004D5659" w:rsidP="002255C0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5BC7D07" w14:textId="45E77B95" w:rsidR="00D45D40" w:rsidRPr="00137B4D" w:rsidRDefault="00893A63" w:rsidP="002255C0">
      <w:pPr>
        <w:contextualSpacing/>
        <w:jc w:val="both"/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“</w:t>
      </w:r>
      <w:proofErr w:type="spellStart"/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Creattiva</w:t>
      </w:r>
      <w:proofErr w:type="spellEnd"/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si consolida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quale</w:t>
      </w: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evento di riferimento per il mondo delle arti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manuali</w:t>
      </w:r>
      <w:r w:rsidR="007228A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– commenta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no </w:t>
      </w:r>
      <w:r w:rsidR="007228A2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Luciano Patelli</w:t>
      </w:r>
      <w:r w:rsidR="007228A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e </w:t>
      </w:r>
      <w:r w:rsidR="00D45D4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Davide </w:t>
      </w:r>
      <w:proofErr w:type="spellStart"/>
      <w:r w:rsidR="00D45D4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Lenarduzzi</w:t>
      </w:r>
      <w:proofErr w:type="spellEnd"/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rispettivamente presidente e amministratore delegato di </w:t>
      </w:r>
      <w:proofErr w:type="spellStart"/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Promoberg</w:t>
      </w:r>
      <w:proofErr w:type="spellEnd"/>
      <w:r w:rsidR="00D45D4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7228A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-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. </w:t>
      </w:r>
      <w:r w:rsidR="00D45D4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Il nostro salone </w:t>
      </w: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rappresenta un’autentica festa per le decine di migliaia di appassionate del settore, </w:t>
      </w:r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ma </w:t>
      </w:r>
      <w:proofErr w:type="gramStart"/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nel contempo</w:t>
      </w:r>
      <w:proofErr w:type="gramEnd"/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si conferma di edizione in edizione (le due a Bergamo, in primavera e autunno, e quelle che allestiamo a Napoli e Firenze) un appuntamento fondamentale anche per l’incontro e il confronto tra gli operatori, che possono sviluppare ulteriormente il proprio business.</w:t>
      </w:r>
    </w:p>
    <w:p w14:paraId="0C5EEBAE" w14:textId="5046FDC8" w:rsidR="002255C0" w:rsidRPr="00137B4D" w:rsidRDefault="00427B90" w:rsidP="002255C0">
      <w:pPr>
        <w:contextualSpacing/>
        <w:jc w:val="both"/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Uno dei meriti di </w:t>
      </w:r>
      <w:proofErr w:type="spellStart"/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Creattiva</w:t>
      </w:r>
      <w:proofErr w:type="spellEnd"/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è di aver consentito in molti casi di trasformare u</w:t>
      </w:r>
      <w:r w:rsidR="00D45D4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na passione in una professione, che ha arricchito una filiera molto dinamica</w:t>
      </w: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e composta in molti </w:t>
      </w:r>
      <w:r w:rsidR="0016541E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casi</w:t>
      </w: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da imprese a conduzione familiare. 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La manifestazione </w:t>
      </w:r>
      <w:r w:rsidR="002255C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continua a 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sviluppa</w:t>
      </w:r>
      <w:r w:rsidR="002255C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re 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evidenti ricadute molto positive per il territorio di Bergamo, in chiave economica e turistic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a. B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en nove imprese su dieci provengono da fuori Bergamo e sei su dieci da fuori regione, il che si traduce in 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molte centinaia </w:t>
      </w:r>
      <w:r w:rsidR="0055725A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di 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persone che si fermano in città per almeno 5/6 giorni, a cui si aggiungono 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quelle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(spesso in gruppo) che abbinano la 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partecipazione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a </w:t>
      </w:r>
      <w:proofErr w:type="spellStart"/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Creattiva</w:t>
      </w:r>
      <w:proofErr w:type="spellEnd"/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ad</w:t>
      </w:r>
      <w:r w:rsidR="0091465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una visita alla città, pernottando per almeno una notte</w:t>
      </w:r>
      <w:r w:rsidR="007228A2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”. </w:t>
      </w:r>
    </w:p>
    <w:p w14:paraId="6A055C3C" w14:textId="77777777" w:rsidR="00427B90" w:rsidRPr="00137B4D" w:rsidRDefault="00427B90" w:rsidP="000C1CCC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F3D4E4B" w14:textId="0EB6EB6C" w:rsidR="00427B90" w:rsidRPr="00137B4D" w:rsidRDefault="007228A2" w:rsidP="000C1CCC">
      <w:pPr>
        <w:spacing w:after="0"/>
        <w:contextualSpacing/>
        <w:jc w:val="both"/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“Quest’anno più che mai è emers</w:t>
      </w:r>
      <w:r w:rsidR="002255C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o il desiderio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di coinvolgere maggiormente le nuove generazioni</w:t>
      </w:r>
      <w:r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– spiega</w:t>
      </w:r>
      <w:r w:rsidR="00F45E81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no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Carlo Conte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direzione Fiere e Mice </w:t>
      </w:r>
      <w:proofErr w:type="spellStart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Promoberg</w:t>
      </w:r>
      <w:proofErr w:type="spellEnd"/>
      <w:r w:rsidR="00F45E81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e </w:t>
      </w:r>
      <w:r w:rsidR="00F45E81" w:rsidRPr="00F45E81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Sara </w:t>
      </w:r>
      <w:r w:rsidR="00F45E81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C</w:t>
      </w:r>
      <w:r w:rsidR="00F45E81" w:rsidRPr="00F45E81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amozzi</w:t>
      </w:r>
      <w:r w:rsidR="00F45E81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project manager di </w:t>
      </w:r>
      <w:proofErr w:type="spellStart"/>
      <w:r w:rsidR="00F45E81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-</w:t>
      </w:r>
      <w:r w:rsidR="00685C98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soprattutto nelle arti tradizionali che</w:t>
      </w:r>
      <w:r w:rsidR="00D77C26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,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finite </w:t>
      </w:r>
      <w:r w:rsidR="00D77C26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nei decenni scorsi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nel cassetto</w:t>
      </w:r>
      <w:r w:rsidR="00D77C26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,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="00D77C26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anche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grazie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lastRenderedPageBreak/>
        <w:t xml:space="preserve">a </w:t>
      </w:r>
      <w:proofErr w:type="spellStart"/>
      <w:r w:rsidR="00D77C26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reattiva</w:t>
      </w:r>
      <w:proofErr w:type="spellEnd"/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stanno conoscendo una nuova primavera.</w:t>
      </w:r>
      <w:r w:rsidR="00F45E81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In tal senso stiamo sviluppando</w:t>
      </w:r>
      <w:r w:rsidR="0055725A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un progetto per coinvolgere in particolare le scuole primarie del nostro territorio, per far apprendere ai bambini le prime conoscenze </w:t>
      </w:r>
      <w:r w:rsidR="002255C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soprattutto </w:t>
      </w:r>
      <w:r w:rsidR="00685C98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delle tecniche manual</w:t>
      </w:r>
      <w:r w:rsidR="002255C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i a loro meno note</w:t>
      </w:r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. </w:t>
      </w:r>
      <w:r w:rsidR="00137B4D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Allo stesso tempo</w:t>
      </w:r>
      <w:r w:rsidR="0016541E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, stiamo rafforzando</w:t>
      </w:r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le sinergie con gli operatori e le diverse realtà nazionali da anni impegnate a </w:t>
      </w:r>
      <w:proofErr w:type="spellStart"/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Creattiva</w:t>
      </w:r>
      <w:proofErr w:type="spellEnd"/>
      <w:r w:rsidR="00427B90" w:rsidRPr="00137B4D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>, per allargare il raggio d’azione e creare nuove collaborazioni a livello internazionale”.</w:t>
      </w:r>
    </w:p>
    <w:p w14:paraId="2DD3B3AA" w14:textId="77777777" w:rsidR="00427B90" w:rsidRPr="00137B4D" w:rsidRDefault="00427B90" w:rsidP="00572C3D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C613A79" w14:textId="5A2F3D60" w:rsidR="0016541E" w:rsidRPr="00137B4D" w:rsidRDefault="00572C3D" w:rsidP="00572C3D">
      <w:pPr>
        <w:spacing w:after="0"/>
        <w:contextualSpacing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Tra i tanti eventi 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di punta della manifestazione 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citiamo </w:t>
      </w:r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Master </w:t>
      </w:r>
      <w:proofErr w:type="spellStart"/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Beads</w:t>
      </w:r>
      <w:proofErr w:type="spellEnd"/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(dedicato al settore della gioielleria di alto livello), </w:t>
      </w:r>
      <w:proofErr w:type="spellStart"/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Creattiva</w:t>
      </w:r>
      <w:proofErr w:type="spellEnd"/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Show Lab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(corsi e intr</w:t>
      </w:r>
      <w:r w:rsidR="00137B4D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attenimenti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per imparare nuove tecniche e raccogliere spunti creativi), </w:t>
      </w:r>
      <w:proofErr w:type="spellStart"/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Creattiva</w:t>
      </w:r>
      <w:proofErr w:type="spellEnd"/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Academy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(disegno e pittura),</w:t>
      </w:r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Master Stitch 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(il</w:t>
      </w:r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427B90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cucito, in tutte le sue sfaccettature). Grandi apprezzamenti anche per l’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installazione</w:t>
      </w:r>
      <w:r w:rsidR="007E448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ideata </w:t>
      </w:r>
      <w:r w:rsidR="007E448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e realizzata</w:t>
      </w:r>
      <w:r w:rsidRPr="00137B4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macramé</w:t>
      </w:r>
      <w:proofErr w:type="spellEnd"/>
      <w:r w:rsidR="007E448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(con alcune sue allieve) 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da</w:t>
      </w:r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Maria Luisa Tonello</w:t>
      </w:r>
      <w:r w:rsidR="007E4482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137B4D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per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le 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aree </w:t>
      </w:r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Ricamo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e</w:t>
      </w:r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Bimbi</w:t>
      </w:r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e</w:t>
      </w:r>
      <w:r w:rsidR="00137B4D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per</w:t>
      </w:r>
      <w:r w:rsidR="00427B90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le </w:t>
      </w:r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navette gratuite targate </w:t>
      </w:r>
      <w:proofErr w:type="spellStart"/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Creattiva</w:t>
      </w:r>
      <w:proofErr w:type="spellEnd"/>
      <w:r w:rsidR="00B046C9"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, 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che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hanno 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collega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to</w:t>
      </w:r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spellStart"/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a/r</w:t>
      </w:r>
      <w:proofErr w:type="spellEnd"/>
      <w:r w:rsidR="00B046C9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la Fiera con la stazione Fs di Bergamo e l’aeroporto BGY</w:t>
      </w:r>
      <w:r w:rsidR="00137B4D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16541E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per una fiera sempre più sostenibile e green.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 </w:t>
      </w:r>
    </w:p>
    <w:p w14:paraId="58E906DC" w14:textId="6ED78048" w:rsidR="0016541E" w:rsidRPr="00137B4D" w:rsidRDefault="00572C3D" w:rsidP="00572C3D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14:paraId="4C6BDA4A" w14:textId="7980AFE6" w:rsidR="00523F4E" w:rsidRPr="00137B4D" w:rsidRDefault="00B046C9" w:rsidP="00572C3D">
      <w:pPr>
        <w:spacing w:after="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L’evento </w:t>
      </w:r>
      <w:r w:rsidR="00572C3D"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ha avuto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il sostegno di 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Banco BPM Credito Bergamasco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e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Banca Intesa Sanpaolo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Main</w:t>
      </w:r>
      <w:proofErr w:type="spellEnd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sponsor) e </w:t>
      </w:r>
      <w:proofErr w:type="spellStart"/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DeniCar</w:t>
      </w:r>
      <w:proofErr w:type="spellEnd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mobility</w:t>
      </w:r>
      <w:proofErr w:type="spellEnd"/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partner) e il patrocinio di 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Provincia di Bergamo 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e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Camera di Commercio di Bergamo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bookmarkEnd w:id="0"/>
    </w:p>
    <w:p w14:paraId="74D8BB70" w14:textId="77777777" w:rsidR="00523F4E" w:rsidRPr="00137B4D" w:rsidRDefault="00523F4E" w:rsidP="00572C3D">
      <w:pPr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6750A29" w14:textId="77777777" w:rsidR="0016541E" w:rsidRPr="00137B4D" w:rsidRDefault="0016541E" w:rsidP="00572C3D">
      <w:pPr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18F8BB3" w14:textId="28B809B0" w:rsidR="00523F4E" w:rsidRPr="00137B4D" w:rsidRDefault="00523F4E" w:rsidP="00523F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Ufficio stampa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– </w:t>
      </w: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Relazioni Esterne </w:t>
      </w:r>
      <w:proofErr w:type="spellStart"/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Promoberg</w:t>
      </w:r>
      <w:proofErr w:type="spellEnd"/>
    </w:p>
    <w:p w14:paraId="7AEF1037" w14:textId="77777777" w:rsidR="00523F4E" w:rsidRPr="00137B4D" w:rsidRDefault="00523F4E" w:rsidP="00523F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137B4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Marco Conti</w:t>
      </w:r>
      <w:r w:rsidRPr="00137B4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: mobile 335.8082018 – e-mail:  </w:t>
      </w:r>
      <w:hyperlink r:id="rId6" w:history="1">
        <w:r w:rsidRPr="00137B4D">
          <w:rPr>
            <w:rStyle w:val="Collegamentoipertestuale"/>
            <w:rFonts w:ascii="Times New Roman" w:eastAsia="NSimSun" w:hAnsi="Times New Roman" w:cs="Times New Roman"/>
            <w:kern w:val="2"/>
            <w:sz w:val="24"/>
            <w:szCs w:val="24"/>
            <w:u w:val="none"/>
            <w:lang w:eastAsia="zh-CN" w:bidi="hi-IN"/>
          </w:rPr>
          <w:t>marco.conti@promoberg.it</w:t>
        </w:r>
      </w:hyperlink>
    </w:p>
    <w:p w14:paraId="25B0FA2A" w14:textId="77777777" w:rsidR="00523F4E" w:rsidRPr="00523F4E" w:rsidRDefault="00523F4E" w:rsidP="00572C3D">
      <w:pPr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sectPr w:rsidR="00523F4E" w:rsidRPr="00523F4E" w:rsidSect="00AF5F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7D35A" w14:textId="77777777" w:rsidR="00AF5F48" w:rsidRDefault="00AF5F48" w:rsidP="00462D52">
      <w:pPr>
        <w:spacing w:after="0" w:line="240" w:lineRule="auto"/>
      </w:pPr>
      <w:r>
        <w:separator/>
      </w:r>
    </w:p>
  </w:endnote>
  <w:endnote w:type="continuationSeparator" w:id="0">
    <w:p w14:paraId="2DCCA823" w14:textId="77777777" w:rsidR="00AF5F48" w:rsidRDefault="00AF5F48" w:rsidP="0046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76B2" w14:textId="77777777" w:rsidR="002469C2" w:rsidRDefault="002469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6348" w14:textId="203C08FC" w:rsidR="00462D52" w:rsidRDefault="00813D84">
    <w:pPr>
      <w:pStyle w:val="Pidipagin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1F8A33" wp14:editId="7F6DB66A">
          <wp:simplePos x="0" y="0"/>
          <wp:positionH relativeFrom="column">
            <wp:posOffset>-309245</wp:posOffset>
          </wp:positionH>
          <wp:positionV relativeFrom="page">
            <wp:posOffset>9172575</wp:posOffset>
          </wp:positionV>
          <wp:extent cx="6727825" cy="1282700"/>
          <wp:effectExtent l="0" t="0" r="0" b="0"/>
          <wp:wrapTopAndBottom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27825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9B1F" w14:textId="77777777" w:rsidR="002469C2" w:rsidRDefault="002469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4027" w14:textId="77777777" w:rsidR="00AF5F48" w:rsidRDefault="00AF5F48" w:rsidP="00462D52">
      <w:pPr>
        <w:spacing w:after="0" w:line="240" w:lineRule="auto"/>
      </w:pPr>
      <w:r>
        <w:separator/>
      </w:r>
    </w:p>
  </w:footnote>
  <w:footnote w:type="continuationSeparator" w:id="0">
    <w:p w14:paraId="14542879" w14:textId="77777777" w:rsidR="00AF5F48" w:rsidRDefault="00AF5F48" w:rsidP="0046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83F8" w14:textId="77777777" w:rsidR="002469C2" w:rsidRDefault="002469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B762" w14:textId="5EFBFC9E" w:rsidR="00462D52" w:rsidRDefault="009E5F63" w:rsidP="001363DF">
    <w:pPr>
      <w:pStyle w:val="Intestazione"/>
      <w:jc w:val="center"/>
    </w:pPr>
    <w:r>
      <w:rPr>
        <w:noProof/>
      </w:rPr>
      <w:drawing>
        <wp:inline distT="0" distB="0" distL="0" distR="0" wp14:anchorId="3FF6D8F1" wp14:editId="114A3F2F">
          <wp:extent cx="5983621" cy="128306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83621" cy="128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DF52" w14:textId="77777777" w:rsidR="002469C2" w:rsidRDefault="002469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D52"/>
    <w:rsid w:val="00035113"/>
    <w:rsid w:val="000A588A"/>
    <w:rsid w:val="000B2D8D"/>
    <w:rsid w:val="000C1CCC"/>
    <w:rsid w:val="000C7238"/>
    <w:rsid w:val="00113215"/>
    <w:rsid w:val="001363DF"/>
    <w:rsid w:val="00137B4D"/>
    <w:rsid w:val="00145A6B"/>
    <w:rsid w:val="001468BB"/>
    <w:rsid w:val="0016541E"/>
    <w:rsid w:val="00185961"/>
    <w:rsid w:val="002255C0"/>
    <w:rsid w:val="00242AB5"/>
    <w:rsid w:val="002469C2"/>
    <w:rsid w:val="00281079"/>
    <w:rsid w:val="00292580"/>
    <w:rsid w:val="00296ABF"/>
    <w:rsid w:val="002D0E62"/>
    <w:rsid w:val="002D2555"/>
    <w:rsid w:val="00321E4F"/>
    <w:rsid w:val="00331E5E"/>
    <w:rsid w:val="00332F58"/>
    <w:rsid w:val="0038709D"/>
    <w:rsid w:val="00395E16"/>
    <w:rsid w:val="003C27A4"/>
    <w:rsid w:val="003C4FD8"/>
    <w:rsid w:val="003D5769"/>
    <w:rsid w:val="00427B90"/>
    <w:rsid w:val="00444A0E"/>
    <w:rsid w:val="00462D52"/>
    <w:rsid w:val="00480538"/>
    <w:rsid w:val="004844CF"/>
    <w:rsid w:val="004D059C"/>
    <w:rsid w:val="004D5659"/>
    <w:rsid w:val="004F146B"/>
    <w:rsid w:val="00523F4E"/>
    <w:rsid w:val="0052524B"/>
    <w:rsid w:val="0055725A"/>
    <w:rsid w:val="00572C3D"/>
    <w:rsid w:val="005816FE"/>
    <w:rsid w:val="00596567"/>
    <w:rsid w:val="005C23B5"/>
    <w:rsid w:val="005F3F3B"/>
    <w:rsid w:val="006007CD"/>
    <w:rsid w:val="006155A9"/>
    <w:rsid w:val="00637880"/>
    <w:rsid w:val="00654DB7"/>
    <w:rsid w:val="00685C98"/>
    <w:rsid w:val="00686381"/>
    <w:rsid w:val="006E7B54"/>
    <w:rsid w:val="007228A2"/>
    <w:rsid w:val="0073591F"/>
    <w:rsid w:val="007D63B5"/>
    <w:rsid w:val="007E4482"/>
    <w:rsid w:val="007F21A4"/>
    <w:rsid w:val="00811533"/>
    <w:rsid w:val="00813D84"/>
    <w:rsid w:val="008471A0"/>
    <w:rsid w:val="008626DC"/>
    <w:rsid w:val="00893A63"/>
    <w:rsid w:val="008C2C39"/>
    <w:rsid w:val="008D16B9"/>
    <w:rsid w:val="008D5867"/>
    <w:rsid w:val="008F03BC"/>
    <w:rsid w:val="00910849"/>
    <w:rsid w:val="00914652"/>
    <w:rsid w:val="00914A5A"/>
    <w:rsid w:val="00970541"/>
    <w:rsid w:val="009A6981"/>
    <w:rsid w:val="009E5F63"/>
    <w:rsid w:val="00A25DB7"/>
    <w:rsid w:val="00A26668"/>
    <w:rsid w:val="00A30C8B"/>
    <w:rsid w:val="00A519FA"/>
    <w:rsid w:val="00AA38B5"/>
    <w:rsid w:val="00AA57B1"/>
    <w:rsid w:val="00AC3ECF"/>
    <w:rsid w:val="00AF5F48"/>
    <w:rsid w:val="00B041D4"/>
    <w:rsid w:val="00B046C9"/>
    <w:rsid w:val="00B112D3"/>
    <w:rsid w:val="00B21541"/>
    <w:rsid w:val="00B33B45"/>
    <w:rsid w:val="00B90996"/>
    <w:rsid w:val="00BB317B"/>
    <w:rsid w:val="00BD375C"/>
    <w:rsid w:val="00C221B7"/>
    <w:rsid w:val="00C63166"/>
    <w:rsid w:val="00C66D68"/>
    <w:rsid w:val="00C90955"/>
    <w:rsid w:val="00CB2E8D"/>
    <w:rsid w:val="00CF106A"/>
    <w:rsid w:val="00CF6F28"/>
    <w:rsid w:val="00D45D40"/>
    <w:rsid w:val="00D77C26"/>
    <w:rsid w:val="00DA0F31"/>
    <w:rsid w:val="00E63232"/>
    <w:rsid w:val="00F01370"/>
    <w:rsid w:val="00F016DE"/>
    <w:rsid w:val="00F11821"/>
    <w:rsid w:val="00F2527B"/>
    <w:rsid w:val="00F45E81"/>
    <w:rsid w:val="00F5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11B17"/>
  <w15:chartTrackingRefBased/>
  <w15:docId w15:val="{EBB81E91-0242-473B-B87D-736CA84A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16D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2D52"/>
  </w:style>
  <w:style w:type="paragraph" w:styleId="Pidipagina">
    <w:name w:val="footer"/>
    <w:basedOn w:val="Normale"/>
    <w:link w:val="Pidipagina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D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2D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C1CC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C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co.conti@promoberg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Cino</dc:creator>
  <cp:keywords/>
  <dc:description/>
  <cp:lastModifiedBy>Marco Conti</cp:lastModifiedBy>
  <cp:revision>21</cp:revision>
  <cp:lastPrinted>2024-03-05T08:17:00Z</cp:lastPrinted>
  <dcterms:created xsi:type="dcterms:W3CDTF">2024-03-09T14:34:00Z</dcterms:created>
  <dcterms:modified xsi:type="dcterms:W3CDTF">2024-03-10T17:13:00Z</dcterms:modified>
</cp:coreProperties>
</file>